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AC" w:rsidRDefault="0098362D" w:rsidP="00967B99">
      <w:pPr>
        <w:pStyle w:val="Rubrik2"/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</w:pPr>
      <w:proofErr w:type="spellStart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>Changing</w:t>
      </w:r>
      <w:proofErr w:type="spellEnd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 xml:space="preserve"> the game </w:t>
      </w:r>
      <w:proofErr w:type="spellStart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>of</w:t>
      </w:r>
      <w:proofErr w:type="spellEnd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 xml:space="preserve"> </w:t>
      </w:r>
      <w:proofErr w:type="spellStart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>sanding</w:t>
      </w:r>
      <w:proofErr w:type="spellEnd"/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 xml:space="preserve">; Mirka lanserar två nya slipmaterial </w:t>
      </w:r>
    </w:p>
    <w:p w:rsidR="00A004E7" w:rsidRPr="002D3BAC" w:rsidRDefault="0098362D" w:rsidP="00967B99">
      <w:pPr>
        <w:pStyle w:val="Rubrik2"/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</w:pPr>
      <w:r w:rsidRPr="002D3BAC">
        <w:rPr>
          <w:rStyle w:val="Stark"/>
          <w:rFonts w:asciiTheme="minorHAnsi" w:hAnsiTheme="minorHAnsi" w:cstheme="minorHAnsi"/>
          <w:color w:val="000000" w:themeColor="text1"/>
          <w:sz w:val="30"/>
          <w:szCs w:val="30"/>
        </w:rPr>
        <w:t>som är tillverkade med nyskapande teknologi</w:t>
      </w:r>
    </w:p>
    <w:p w:rsidR="00967B99" w:rsidRPr="00967B99" w:rsidRDefault="00967B99" w:rsidP="00967B99">
      <w:pPr>
        <w:rPr>
          <w:lang w:eastAsia="zh-CN"/>
        </w:rPr>
      </w:pPr>
    </w:p>
    <w:p w:rsidR="002F279D" w:rsidRDefault="0098362D" w:rsidP="002F279D">
      <w:pPr>
        <w:pStyle w:val="Ingetavstnd"/>
        <w:rPr>
          <w:lang w:val="sv-SE"/>
        </w:rPr>
      </w:pPr>
      <w:r w:rsidRPr="00A004E7">
        <w:rPr>
          <w:lang w:val="sv-SE"/>
        </w:rPr>
        <w:t>Mirka introducerar Iridium och Novastar, tillgänglig</w:t>
      </w:r>
      <w:r w:rsidR="009E4C47">
        <w:rPr>
          <w:lang w:val="sv-SE"/>
        </w:rPr>
        <w:t xml:space="preserve">a </w:t>
      </w:r>
      <w:r w:rsidRPr="00A004E7">
        <w:rPr>
          <w:lang w:val="sv-SE"/>
        </w:rPr>
        <w:t xml:space="preserve">för hela världen från och med september. De nya pappers- och filmstödda slipmaterialen lanseras som premiumprodukter och riktar sig till bileftermarknaden, trä- och tillverkningsindustrin, inklusive båt- och fordonsindustrin. </w:t>
      </w:r>
    </w:p>
    <w:p w:rsidR="002F279D" w:rsidRPr="00A004E7" w:rsidRDefault="002F279D" w:rsidP="002F279D">
      <w:pPr>
        <w:pStyle w:val="Ingetavstnd"/>
        <w:rPr>
          <w:lang w:val="sv-SE"/>
        </w:rPr>
      </w:pPr>
    </w:p>
    <w:p w:rsidR="002F279D" w:rsidRDefault="0098362D" w:rsidP="002F279D">
      <w:pPr>
        <w:pStyle w:val="Ingetavstnd"/>
        <w:rPr>
          <w:color w:val="000000"/>
          <w:lang w:val="fi-FI"/>
        </w:rPr>
      </w:pPr>
      <w:r w:rsidRPr="00A004E7">
        <w:rPr>
          <w:lang w:val="sv-SE"/>
        </w:rPr>
        <w:t xml:space="preserve">Mirka som har 75-årsjubileum i år har långa traditioner av slipmaterialstillverkning. Lanseringen av de banbrytande </w:t>
      </w:r>
      <w:proofErr w:type="spellStart"/>
      <w:r w:rsidRPr="00A004E7">
        <w:rPr>
          <w:lang w:val="sv-SE"/>
        </w:rPr>
        <w:t>nätprodukterna</w:t>
      </w:r>
      <w:proofErr w:type="spellEnd"/>
      <w:r w:rsidRPr="00A004E7">
        <w:rPr>
          <w:lang w:val="sv-SE"/>
        </w:rPr>
        <w:t xml:space="preserve"> </w:t>
      </w:r>
      <w:r w:rsidR="00B97115" w:rsidRPr="00A004E7">
        <w:rPr>
          <w:lang w:val="sv-SE"/>
        </w:rPr>
        <w:t xml:space="preserve">Abranet </w:t>
      </w:r>
      <w:r w:rsidRPr="00A004E7">
        <w:rPr>
          <w:lang w:val="sv-SE"/>
        </w:rPr>
        <w:t xml:space="preserve">i början av 2000-talet och framgången med de prisbelönade i Finland tillverkade </w:t>
      </w:r>
      <w:proofErr w:type="spellStart"/>
      <w:r w:rsidRPr="00A004E7">
        <w:rPr>
          <w:lang w:val="sv-SE"/>
        </w:rPr>
        <w:t>elslipmaskinerna</w:t>
      </w:r>
      <w:proofErr w:type="spellEnd"/>
      <w:r w:rsidRPr="00A004E7">
        <w:rPr>
          <w:lang w:val="sv-SE"/>
        </w:rPr>
        <w:t xml:space="preserve"> har lyft Mirka till en föregångare inom slipteknik. Idag placerar företaget två traditionella slipmaterial i rampljuset: det lanserar inte bara en utan två nya produktfamiljer, </w:t>
      </w:r>
      <w:r w:rsidRPr="00A004E7">
        <w:rPr>
          <w:color w:val="000000"/>
          <w:lang w:val="fi-FI"/>
        </w:rPr>
        <w:t>Mirka Iridium</w:t>
      </w:r>
      <w:r w:rsidRPr="00A004E7">
        <w:rPr>
          <w:color w:val="000000"/>
          <w:vertAlign w:val="superscript"/>
          <w:lang w:val="fi-FI"/>
        </w:rPr>
        <w:t>®</w:t>
      </w:r>
      <w:r w:rsidRPr="00A004E7">
        <w:rPr>
          <w:color w:val="000000"/>
          <w:lang w:val="fi-FI"/>
        </w:rPr>
        <w:t xml:space="preserve"> </w:t>
      </w:r>
      <w:proofErr w:type="spellStart"/>
      <w:r w:rsidRPr="00A004E7">
        <w:rPr>
          <w:color w:val="000000"/>
          <w:lang w:val="fi-FI"/>
        </w:rPr>
        <w:t>och</w:t>
      </w:r>
      <w:proofErr w:type="spellEnd"/>
      <w:r w:rsidRPr="00A004E7">
        <w:rPr>
          <w:color w:val="000000"/>
          <w:lang w:val="fi-FI"/>
        </w:rPr>
        <w:t xml:space="preserve"> </w:t>
      </w:r>
      <w:proofErr w:type="spellStart"/>
      <w:r w:rsidRPr="00A004E7">
        <w:rPr>
          <w:color w:val="000000"/>
          <w:lang w:val="fi-FI"/>
        </w:rPr>
        <w:t>Novastar</w:t>
      </w:r>
      <w:proofErr w:type="spellEnd"/>
      <w:r w:rsidRPr="00A004E7">
        <w:rPr>
          <w:color w:val="000000"/>
          <w:vertAlign w:val="superscript"/>
          <w:lang w:val="fi-FI"/>
        </w:rPr>
        <w:t>™</w:t>
      </w:r>
      <w:r w:rsidRPr="00A004E7">
        <w:rPr>
          <w:color w:val="000000"/>
          <w:lang w:val="fi-FI"/>
        </w:rPr>
        <w:t xml:space="preserve">, </w:t>
      </w:r>
      <w:proofErr w:type="spellStart"/>
      <w:r w:rsidRPr="00A004E7">
        <w:rPr>
          <w:color w:val="000000"/>
          <w:lang w:val="fi-FI"/>
        </w:rPr>
        <w:t>globalt</w:t>
      </w:r>
      <w:proofErr w:type="spellEnd"/>
      <w:r w:rsidRPr="00A004E7">
        <w:rPr>
          <w:color w:val="000000"/>
          <w:lang w:val="fi-FI"/>
        </w:rPr>
        <w:t>.</w:t>
      </w:r>
    </w:p>
    <w:p w:rsidR="002F279D" w:rsidRPr="002F279D" w:rsidRDefault="002F279D" w:rsidP="002F279D">
      <w:pPr>
        <w:pStyle w:val="Ingetavstnd"/>
        <w:rPr>
          <w:color w:val="000000"/>
          <w:lang w:val="fi-FI"/>
        </w:rPr>
      </w:pPr>
    </w:p>
    <w:p w:rsidR="0098362D" w:rsidRDefault="0098362D" w:rsidP="002F279D">
      <w:pPr>
        <w:pStyle w:val="Ingetavstnd"/>
        <w:rPr>
          <w:lang w:val="sv-SE"/>
        </w:rPr>
      </w:pPr>
      <w:r w:rsidRPr="00A004E7">
        <w:rPr>
          <w:lang w:val="sv-SE"/>
        </w:rPr>
        <w:t>Enligt Stefan Sjöberg, VD för Mirka Ltd, kommer år 2018 att bli ett landmärke för pappers- och filmslipmaterial: "Iridium och Novastar är inte bara en förbättring av våra tidigare produkter. Vi har verkligen försökt att omdefiniera tillverkningstekniken för slipmaterial: nya optimerade korn, nya beläggnings- och härdningstekniker samt Mirkas nya flerhålsmönster.</w:t>
      </w:r>
    </w:p>
    <w:p w:rsidR="002F279D" w:rsidRPr="00A004E7" w:rsidRDefault="002F279D" w:rsidP="002F279D">
      <w:pPr>
        <w:pStyle w:val="Ingetavstnd"/>
        <w:rPr>
          <w:lang w:val="sv-SE"/>
        </w:rPr>
      </w:pPr>
    </w:p>
    <w:p w:rsidR="0098362D" w:rsidRDefault="0098362D" w:rsidP="002F279D">
      <w:pPr>
        <w:pStyle w:val="Ingetavstnd"/>
        <w:rPr>
          <w:lang w:val="sv-SE"/>
        </w:rPr>
      </w:pPr>
      <w:r w:rsidRPr="00A004E7">
        <w:rPr>
          <w:lang w:val="sv-SE"/>
        </w:rPr>
        <w:t xml:space="preserve">De parallellt utvecklade slipmaterialen är likadana – men inte samma – som han förklarar. ”Båda har en unik </w:t>
      </w:r>
      <w:proofErr w:type="spellStart"/>
      <w:r w:rsidRPr="00A004E7">
        <w:rPr>
          <w:lang w:val="sv-SE"/>
        </w:rPr>
        <w:t>dammavvisande</w:t>
      </w:r>
      <w:proofErr w:type="spellEnd"/>
      <w:r w:rsidRPr="00A004E7">
        <w:rPr>
          <w:lang w:val="sv-SE"/>
        </w:rPr>
        <w:t xml:space="preserve"> yta som inte täpps, så kornen hålls vassa länge. Det här är nyckeln till toppresultat”, säger Sjöberg. ”Vi har gjort mer än 300 fälttester världen över i början av året för att verifiera kundvärdet och resultaten var mycket positiva. Hastigheten, effektiviteten, livslängden och dammutsuget är utmärkt</w:t>
      </w:r>
      <w:r w:rsidR="000C2EC6">
        <w:rPr>
          <w:lang w:val="sv-SE"/>
        </w:rPr>
        <w:t>”.</w:t>
      </w:r>
    </w:p>
    <w:p w:rsidR="002F279D" w:rsidRPr="00A004E7" w:rsidRDefault="002F279D" w:rsidP="002F279D">
      <w:pPr>
        <w:pStyle w:val="Ingetavstnd"/>
        <w:rPr>
          <w:lang w:val="sv-SE"/>
        </w:rPr>
      </w:pPr>
    </w:p>
    <w:p w:rsidR="0098362D" w:rsidRDefault="0098362D" w:rsidP="002F279D">
      <w:pPr>
        <w:pStyle w:val="Ingetavstnd"/>
        <w:rPr>
          <w:lang w:val="sv-SE"/>
        </w:rPr>
      </w:pPr>
      <w:r w:rsidRPr="00A004E7">
        <w:rPr>
          <w:lang w:val="sv-SE"/>
        </w:rPr>
        <w:t xml:space="preserve">Iridium som </w:t>
      </w:r>
      <w:r w:rsidR="000C2EC6">
        <w:rPr>
          <w:lang w:val="sv-SE"/>
        </w:rPr>
        <w:t>är</w:t>
      </w:r>
      <w:r w:rsidRPr="00A004E7">
        <w:rPr>
          <w:lang w:val="sv-SE"/>
        </w:rPr>
        <w:t xml:space="preserve"> pappersbas</w:t>
      </w:r>
      <w:r w:rsidR="000C2EC6">
        <w:rPr>
          <w:lang w:val="sv-SE"/>
        </w:rPr>
        <w:t>erad</w:t>
      </w:r>
      <w:r w:rsidRPr="00A004E7">
        <w:rPr>
          <w:lang w:val="sv-SE"/>
        </w:rPr>
        <w:t xml:space="preserve"> introduceras i grovlekarna 80 – 600. Den är ideal för bilverkstäder, träindustrin, byggen och renoveringar. Iridium finns tillgängligt som 125 mm och 150 mm rondeller samt som 81 x 133 mm och 70 x 400 mm remsor. De längre remsorna har en perforering på mitten </w:t>
      </w:r>
      <w:r w:rsidR="000C2EC6">
        <w:rPr>
          <w:lang w:val="sv-SE"/>
        </w:rPr>
        <w:t xml:space="preserve">vilket gör att de även passar </w:t>
      </w:r>
      <w:r w:rsidRPr="00A004E7">
        <w:rPr>
          <w:lang w:val="sv-SE"/>
        </w:rPr>
        <w:t>till slipmaskiner</w:t>
      </w:r>
      <w:r w:rsidR="000C2EC6">
        <w:rPr>
          <w:lang w:val="sv-SE"/>
        </w:rPr>
        <w:t xml:space="preserve"> med måtten </w:t>
      </w:r>
      <w:r w:rsidR="000C2EC6" w:rsidRPr="00A004E7">
        <w:rPr>
          <w:lang w:val="sv-SE"/>
        </w:rPr>
        <w:t>70 x 198 mm</w:t>
      </w:r>
      <w:r w:rsidR="000C2EC6">
        <w:rPr>
          <w:lang w:val="sv-SE"/>
        </w:rPr>
        <w:t>.</w:t>
      </w:r>
    </w:p>
    <w:p w:rsidR="002F279D" w:rsidRPr="00A004E7" w:rsidRDefault="002F279D" w:rsidP="002F279D">
      <w:pPr>
        <w:pStyle w:val="Ingetavstnd"/>
        <w:rPr>
          <w:lang w:val="sv-SE"/>
        </w:rPr>
      </w:pPr>
    </w:p>
    <w:p w:rsidR="0098362D" w:rsidRPr="00A004E7" w:rsidRDefault="0098362D" w:rsidP="002F279D">
      <w:pPr>
        <w:pStyle w:val="Ingetavstnd"/>
      </w:pPr>
      <w:r w:rsidRPr="00A004E7">
        <w:t xml:space="preserve">Novastar är det nya filmbaserade slipmaterialet som är </w:t>
      </w:r>
      <w:r w:rsidR="000C2EC6">
        <w:t xml:space="preserve">helt </w:t>
      </w:r>
      <w:r w:rsidRPr="00A004E7">
        <w:t>vattentätt. De viktigaste marknaderna är fordons-, marin- och kompositindustrin. Den finns i grovlekarna 80 – 180 och P240 – P600 och som 125 mm och 150 mm rondeller.</w:t>
      </w:r>
    </w:p>
    <w:p w:rsidR="0098362D" w:rsidRDefault="0098362D" w:rsidP="0098362D">
      <w:pPr>
        <w:rPr>
          <w:rFonts w:cstheme="minorHAnsi"/>
        </w:rPr>
      </w:pPr>
    </w:p>
    <w:p w:rsidR="002F279D" w:rsidRPr="00A004E7" w:rsidRDefault="002F279D" w:rsidP="0098362D">
      <w:pPr>
        <w:rPr>
          <w:rFonts w:cstheme="minorHAnsi"/>
        </w:rPr>
      </w:pPr>
      <w:bookmarkStart w:id="0" w:name="_GoBack"/>
      <w:bookmarkEnd w:id="0"/>
    </w:p>
    <w:p w:rsidR="0098362D" w:rsidRPr="00967B99" w:rsidRDefault="0098362D" w:rsidP="00967B99">
      <w:pPr>
        <w:pStyle w:val="Ingetavstnd"/>
        <w:rPr>
          <w:b/>
        </w:rPr>
      </w:pPr>
      <w:r w:rsidRPr="00967B99">
        <w:rPr>
          <w:b/>
        </w:rPr>
        <w:t>Kontaktinformation</w:t>
      </w:r>
    </w:p>
    <w:p w:rsidR="0098362D" w:rsidRPr="00A004E7" w:rsidRDefault="0098362D" w:rsidP="00967B99">
      <w:pPr>
        <w:pStyle w:val="Ingetavstnd"/>
      </w:pPr>
      <w:r w:rsidRPr="00A004E7">
        <w:t>Alexander Gidebratt, Marknadschef, Mirka Scandinavia AB</w:t>
      </w:r>
    </w:p>
    <w:p w:rsidR="0098362D" w:rsidRPr="00A004E7" w:rsidRDefault="00A004E7" w:rsidP="00967B99">
      <w:pPr>
        <w:pStyle w:val="Ingetavstnd"/>
      </w:pPr>
      <w:r w:rsidRPr="00A004E7">
        <w:rPr>
          <w:rStyle w:val="Hyperlnk"/>
          <w:rFonts w:cstheme="minorHAnsi"/>
          <w:b/>
          <w:color w:val="000000" w:themeColor="text1"/>
          <w:u w:val="none"/>
        </w:rPr>
        <w:t>Mejl:</w:t>
      </w:r>
      <w:r>
        <w:rPr>
          <w:rStyle w:val="Hyperlnk"/>
          <w:rFonts w:cstheme="minorHAnsi"/>
          <w:b/>
          <w:color w:val="000000" w:themeColor="text1"/>
          <w:u w:val="none"/>
        </w:rPr>
        <w:t xml:space="preserve"> </w:t>
      </w:r>
      <w:hyperlink r:id="rId12" w:history="1">
        <w:r w:rsidRPr="000D15E3">
          <w:rPr>
            <w:rStyle w:val="Hyperlnk"/>
            <w:rFonts w:cstheme="minorHAnsi"/>
          </w:rPr>
          <w:t>alexander.gidebratt@mirka.com</w:t>
        </w:r>
      </w:hyperlink>
    </w:p>
    <w:p w:rsidR="0098362D" w:rsidRPr="00A004E7" w:rsidRDefault="00A004E7" w:rsidP="00967B99">
      <w:pPr>
        <w:pStyle w:val="Ingetavstnd"/>
      </w:pPr>
      <w:r w:rsidRPr="000C2EC6">
        <w:rPr>
          <w:b/>
        </w:rPr>
        <w:t>Tel:</w:t>
      </w:r>
      <w:r>
        <w:t xml:space="preserve"> </w:t>
      </w:r>
      <w:r w:rsidR="0098362D" w:rsidRPr="00A004E7">
        <w:t>+46 54 69 09 56</w:t>
      </w:r>
    </w:p>
    <w:p w:rsidR="0098362D" w:rsidRDefault="0098362D" w:rsidP="0098362D">
      <w:pPr>
        <w:rPr>
          <w:rFonts w:cstheme="minorHAnsi"/>
          <w:b/>
        </w:rPr>
      </w:pPr>
    </w:p>
    <w:p w:rsidR="002D3BAC" w:rsidRPr="00995A4D" w:rsidRDefault="002D3BAC" w:rsidP="0098362D">
      <w:pPr>
        <w:rPr>
          <w:rFonts w:cstheme="minorHAnsi"/>
          <w:b/>
        </w:rPr>
      </w:pPr>
    </w:p>
    <w:p w:rsidR="0098362D" w:rsidRPr="00995A4D" w:rsidRDefault="0098362D" w:rsidP="00DA594B">
      <w:pPr>
        <w:spacing w:line="360" w:lineRule="auto"/>
        <w:rPr>
          <w:b/>
          <w:i/>
          <w:lang w:val="en-GB"/>
        </w:rPr>
      </w:pPr>
      <w:proofErr w:type="spellStart"/>
      <w:r w:rsidRPr="00995A4D">
        <w:rPr>
          <w:b/>
          <w:i/>
          <w:lang w:val="en-GB"/>
        </w:rPr>
        <w:t>Kort</w:t>
      </w:r>
      <w:proofErr w:type="spellEnd"/>
      <w:r w:rsidRPr="00995A4D">
        <w:rPr>
          <w:b/>
          <w:i/>
          <w:lang w:val="en-GB"/>
        </w:rPr>
        <w:t xml:space="preserve"> om Mirka:</w:t>
      </w:r>
    </w:p>
    <w:p w:rsidR="00FD210E" w:rsidRPr="00DA594B" w:rsidRDefault="00B8305F" w:rsidP="00DA594B">
      <w:pPr>
        <w:spacing w:line="360" w:lineRule="auto"/>
        <w:rPr>
          <w:i/>
          <w:sz w:val="20"/>
          <w:szCs w:val="20"/>
          <w:lang w:val="en-GB"/>
        </w:rPr>
      </w:pPr>
      <w:r w:rsidRPr="00DA594B">
        <w:rPr>
          <w:i/>
          <w:color w:val="333333"/>
          <w:sz w:val="20"/>
          <w:szCs w:val="20"/>
          <w:shd w:val="clear" w:color="auto" w:fill="FFFFFF"/>
        </w:rPr>
        <w:t>Mirka Ltd. är världsledande inom slipmaterialteknologi och erbjuder ett brett</w:t>
      </w:r>
      <w:r w:rsidR="00995A4D" w:rsidRPr="00DA594B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DA594B">
        <w:rPr>
          <w:i/>
          <w:color w:val="333333"/>
          <w:sz w:val="20"/>
          <w:szCs w:val="20"/>
          <w:shd w:val="clear" w:color="auto" w:fill="FFFFFF"/>
        </w:rPr>
        <w:t>sortiment högklassiga slipprodukter, verktyg och hela slipsystem.</w:t>
      </w:r>
      <w:r w:rsidR="00995A4D" w:rsidRPr="00DA594B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DA594B">
        <w:rPr>
          <w:i/>
          <w:sz w:val="20"/>
          <w:szCs w:val="20"/>
        </w:rPr>
        <w:t>Tack vare högkvalitativa slip- och poleringsprodukter och innovativa verktyg med digitala tjänster och anslutningar ger Mirka</w:t>
      </w:r>
      <w:r w:rsidR="00995A4D" w:rsidRPr="00DA594B">
        <w:rPr>
          <w:i/>
          <w:sz w:val="20"/>
          <w:szCs w:val="20"/>
        </w:rPr>
        <w:t>s l</w:t>
      </w:r>
      <w:r w:rsidRPr="00DA594B">
        <w:rPr>
          <w:i/>
          <w:sz w:val="20"/>
          <w:szCs w:val="20"/>
        </w:rPr>
        <w:t>ösning</w:t>
      </w:r>
      <w:r w:rsidR="00995A4D" w:rsidRPr="00DA594B">
        <w:rPr>
          <w:i/>
          <w:sz w:val="20"/>
          <w:szCs w:val="20"/>
        </w:rPr>
        <w:t>ar</w:t>
      </w:r>
      <w:r w:rsidRPr="00DA594B">
        <w:rPr>
          <w:i/>
          <w:sz w:val="20"/>
          <w:szCs w:val="20"/>
        </w:rPr>
        <w:t xml:space="preserve"> </w:t>
      </w:r>
      <w:r w:rsidR="00995A4D" w:rsidRPr="00DA594B">
        <w:rPr>
          <w:i/>
          <w:sz w:val="20"/>
          <w:szCs w:val="20"/>
        </w:rPr>
        <w:t>stora</w:t>
      </w:r>
      <w:r w:rsidRPr="00DA594B">
        <w:rPr>
          <w:i/>
          <w:sz w:val="20"/>
          <w:szCs w:val="20"/>
        </w:rPr>
        <w:t xml:space="preserve"> fördelar för kunderna när det gäller hastighet, effektivitet, </w:t>
      </w:r>
      <w:proofErr w:type="spellStart"/>
      <w:r w:rsidR="00995A4D" w:rsidRPr="00DA594B">
        <w:rPr>
          <w:i/>
          <w:sz w:val="20"/>
          <w:szCs w:val="20"/>
        </w:rPr>
        <w:t>ytfinish</w:t>
      </w:r>
      <w:proofErr w:type="spellEnd"/>
      <w:r w:rsidR="00967B99" w:rsidRPr="00DA594B">
        <w:rPr>
          <w:i/>
          <w:sz w:val="20"/>
          <w:szCs w:val="20"/>
        </w:rPr>
        <w:t>, kvalitet</w:t>
      </w:r>
      <w:r w:rsidR="00995A4D" w:rsidRPr="00DA594B">
        <w:rPr>
          <w:i/>
          <w:sz w:val="20"/>
          <w:szCs w:val="20"/>
        </w:rPr>
        <w:t xml:space="preserve"> </w:t>
      </w:r>
      <w:r w:rsidRPr="00DA594B">
        <w:rPr>
          <w:i/>
          <w:sz w:val="20"/>
          <w:szCs w:val="20"/>
        </w:rPr>
        <w:t>och kostnadseffektivitet. År 2017 var omsättningen 271,4 M</w:t>
      </w:r>
      <w:r w:rsidR="00995A4D" w:rsidRPr="00DA594B">
        <w:rPr>
          <w:i/>
          <w:sz w:val="20"/>
          <w:szCs w:val="20"/>
        </w:rPr>
        <w:t xml:space="preserve"> </w:t>
      </w:r>
      <w:r w:rsidRPr="00DA594B">
        <w:rPr>
          <w:i/>
          <w:sz w:val="20"/>
          <w:szCs w:val="20"/>
        </w:rPr>
        <w:t>EUR med cirka 1200 anställda. Mirka har 18 dotterbolag i Europa, Mellanöstern, Nord- och Sydamerika samt Asien. Huvudkontor och produktion finns i Finland.</w:t>
      </w:r>
    </w:p>
    <w:sectPr w:rsidR="00FD210E" w:rsidRPr="00DA594B" w:rsidSect="008376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8" w:right="1418" w:bottom="709" w:left="1418" w:header="709" w:footer="12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CC" w:rsidRDefault="00AB4BCC">
      <w:r>
        <w:separator/>
      </w:r>
    </w:p>
  </w:endnote>
  <w:endnote w:type="continuationSeparator" w:id="0">
    <w:p w:rsidR="00AB4BCC" w:rsidRDefault="00AB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CC" w:rsidRDefault="00AB4BCC">
      <w:r>
        <w:separator/>
      </w:r>
    </w:p>
  </w:footnote>
  <w:footnote w:type="continuationSeparator" w:id="0">
    <w:p w:rsidR="00AB4BCC" w:rsidRDefault="00AB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99" w:rsidRPr="00DA594B" w:rsidRDefault="00AD5492" w:rsidP="00967B99">
    <w:pPr>
      <w:pStyle w:val="Sidhuvud"/>
      <w:jc w:val="right"/>
      <w:rPr>
        <w:sz w:val="22"/>
        <w:szCs w:val="22"/>
      </w:rPr>
    </w:pPr>
    <w:r w:rsidRPr="00DA594B">
      <w:rPr>
        <w:noProof/>
        <w:color w:val="808080" w:themeColor="background1" w:themeShade="80"/>
        <w:sz w:val="22"/>
        <w:szCs w:val="22"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-128905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B99" w:rsidRPr="00DA594B">
      <w:rPr>
        <w:color w:val="808080" w:themeColor="background1" w:themeShade="80"/>
        <w:sz w:val="22"/>
        <w:szCs w:val="22"/>
      </w:rPr>
      <w:t>3 september 2018</w:t>
    </w:r>
  </w:p>
  <w:p w:rsidR="00477FF5" w:rsidRDefault="00477FF5" w:rsidP="00967B99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2D"/>
    <w:rsid w:val="000036DD"/>
    <w:rsid w:val="00005216"/>
    <w:rsid w:val="00005B14"/>
    <w:rsid w:val="0000778D"/>
    <w:rsid w:val="00021E6F"/>
    <w:rsid w:val="00046B57"/>
    <w:rsid w:val="000606BB"/>
    <w:rsid w:val="000C2EC6"/>
    <w:rsid w:val="00122DB7"/>
    <w:rsid w:val="001474C1"/>
    <w:rsid w:val="00186E77"/>
    <w:rsid w:val="001C1C25"/>
    <w:rsid w:val="001D20DC"/>
    <w:rsid w:val="001E0583"/>
    <w:rsid w:val="00216750"/>
    <w:rsid w:val="002272D3"/>
    <w:rsid w:val="00276B03"/>
    <w:rsid w:val="002C4EA0"/>
    <w:rsid w:val="002D180D"/>
    <w:rsid w:val="002D3BAC"/>
    <w:rsid w:val="002E0774"/>
    <w:rsid w:val="002F279D"/>
    <w:rsid w:val="002F3B0D"/>
    <w:rsid w:val="00320E92"/>
    <w:rsid w:val="00366F71"/>
    <w:rsid w:val="0037217B"/>
    <w:rsid w:val="003B1EE7"/>
    <w:rsid w:val="003F2D1D"/>
    <w:rsid w:val="0042244F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932BF"/>
    <w:rsid w:val="006C1440"/>
    <w:rsid w:val="00727FD7"/>
    <w:rsid w:val="007B10D5"/>
    <w:rsid w:val="007C2DDF"/>
    <w:rsid w:val="007E0F4F"/>
    <w:rsid w:val="007F1222"/>
    <w:rsid w:val="00817415"/>
    <w:rsid w:val="00837612"/>
    <w:rsid w:val="00873DC1"/>
    <w:rsid w:val="00892EA5"/>
    <w:rsid w:val="008A22FF"/>
    <w:rsid w:val="008D3D97"/>
    <w:rsid w:val="008F75EA"/>
    <w:rsid w:val="0092017F"/>
    <w:rsid w:val="009343B0"/>
    <w:rsid w:val="00944A2C"/>
    <w:rsid w:val="00952722"/>
    <w:rsid w:val="009566C7"/>
    <w:rsid w:val="00956894"/>
    <w:rsid w:val="00967B99"/>
    <w:rsid w:val="0098202D"/>
    <w:rsid w:val="0098362D"/>
    <w:rsid w:val="00995A4D"/>
    <w:rsid w:val="009B1856"/>
    <w:rsid w:val="009B7DBE"/>
    <w:rsid w:val="009C76EF"/>
    <w:rsid w:val="009E4C47"/>
    <w:rsid w:val="00A004E7"/>
    <w:rsid w:val="00A12E6E"/>
    <w:rsid w:val="00A21009"/>
    <w:rsid w:val="00A25C2C"/>
    <w:rsid w:val="00A3086A"/>
    <w:rsid w:val="00A40806"/>
    <w:rsid w:val="00A53F8A"/>
    <w:rsid w:val="00A54F76"/>
    <w:rsid w:val="00A62E7D"/>
    <w:rsid w:val="00A9176C"/>
    <w:rsid w:val="00A919F6"/>
    <w:rsid w:val="00AB4BCC"/>
    <w:rsid w:val="00AC1EAE"/>
    <w:rsid w:val="00AD5492"/>
    <w:rsid w:val="00AE1839"/>
    <w:rsid w:val="00AF06A3"/>
    <w:rsid w:val="00B1007D"/>
    <w:rsid w:val="00B3114E"/>
    <w:rsid w:val="00B8305F"/>
    <w:rsid w:val="00B96FC8"/>
    <w:rsid w:val="00B97115"/>
    <w:rsid w:val="00BD4303"/>
    <w:rsid w:val="00BF7DE6"/>
    <w:rsid w:val="00C428BA"/>
    <w:rsid w:val="00C43E58"/>
    <w:rsid w:val="00C63B5C"/>
    <w:rsid w:val="00C90984"/>
    <w:rsid w:val="00C95266"/>
    <w:rsid w:val="00CA21CC"/>
    <w:rsid w:val="00CD3395"/>
    <w:rsid w:val="00D07DD6"/>
    <w:rsid w:val="00D16753"/>
    <w:rsid w:val="00D755D1"/>
    <w:rsid w:val="00DA594B"/>
    <w:rsid w:val="00DC0336"/>
    <w:rsid w:val="00E14539"/>
    <w:rsid w:val="00E16E70"/>
    <w:rsid w:val="00E21EAA"/>
    <w:rsid w:val="00E65F1F"/>
    <w:rsid w:val="00E726B7"/>
    <w:rsid w:val="00E913EB"/>
    <w:rsid w:val="00F0244D"/>
    <w:rsid w:val="00F215A9"/>
    <w:rsid w:val="00F24183"/>
    <w:rsid w:val="00F704D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F671B4"/>
  <w15:docId w15:val="{BC19FE8B-6AD5-416D-9DC7-31BE65A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62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7F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98362D"/>
    <w:rPr>
      <w:color w:val="0000FF" w:themeColor="hyperlink"/>
      <w:u w:val="single"/>
    </w:rPr>
  </w:style>
  <w:style w:type="character" w:styleId="Stark">
    <w:name w:val="Strong"/>
    <w:basedOn w:val="Standardstycketeckensnitt"/>
    <w:qFormat/>
    <w:rsid w:val="00A004E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004E7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967B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z\Documents\TEMPLATES\Mirka%20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Övrigt</Sektor>
    <År xmlns="44392b30-692c-47b9-9b1d-32db1948a073">2018</Å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0678E-3E65-4DF6-80A7-424969A1AC26}"/>
</file>

<file path=customXml/itemProps3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3FC983-D2E8-4920-9D2A-F952AAC9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Template_2018</Template>
  <TotalTime>29</TotalTime>
  <Pages>1</Pages>
  <Words>414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INVENTIONS’</vt:lpstr>
      <vt:lpstr/>
    </vt:vector>
  </TitlesOfParts>
  <Company>MIRKA GROUP / Oy KWH Mirka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Li Szczepanska</dc:creator>
  <cp:lastModifiedBy>Li Szczepanska</cp:lastModifiedBy>
  <cp:revision>12</cp:revision>
  <cp:lastPrinted>2011-01-20T06:58:00Z</cp:lastPrinted>
  <dcterms:created xsi:type="dcterms:W3CDTF">2018-08-30T08:27:00Z</dcterms:created>
  <dcterms:modified xsi:type="dcterms:W3CDTF">2018-09-05T11:50:00Z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